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0A14930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6F642D" w:rsidRPr="006F642D">
        <w:rPr>
          <w:rFonts w:ascii="Arial" w:eastAsia="Malgun Gothic" w:hAnsi="Arial" w:cs="Arial"/>
          <w:b/>
          <w:bCs/>
          <w:iCs/>
          <w:lang w:eastAsia="ko-KR"/>
        </w:rPr>
        <w:t>THE UNIVERSITY OF AKRON</w:t>
      </w:r>
      <w:r w:rsidR="006F642D" w:rsidRPr="00B979F0">
        <w:rPr>
          <w:rFonts w:ascii="Arial" w:eastAsia="Times New Roman" w:hAnsi="Arial" w:cs="Arial"/>
          <w:b/>
          <w:bCs/>
        </w:rPr>
        <w:t xml:space="preserve"> </w:t>
      </w:r>
      <w:r w:rsidRPr="00B979F0">
        <w:rPr>
          <w:rFonts w:ascii="Arial" w:eastAsia="Times New Roman" w:hAnsi="Arial" w:cs="Arial"/>
          <w:b/>
          <w:bCs/>
        </w:rPr>
        <w:t>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Malgun Gothic" w:hAnsi="Arial" w:cs="Arial"/>
          <w:lang w:eastAsia="ko-KR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6CB4C7BC" w14:textId="2C980470" w:rsidR="006F642D" w:rsidRPr="006F642D" w:rsidRDefault="006F642D" w:rsidP="0003090D">
      <w:pPr>
        <w:spacing w:after="0" w:line="240" w:lineRule="auto"/>
        <w:jc w:val="center"/>
        <w:textAlignment w:val="baseline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>2/</w:t>
      </w:r>
      <w:r w:rsidR="001B5C00">
        <w:rPr>
          <w:rFonts w:ascii="Arial" w:eastAsia="Malgun Gothic" w:hAnsi="Arial" w:cs="Arial"/>
          <w:lang w:eastAsia="ko-KR"/>
        </w:rPr>
        <w:t>2</w:t>
      </w:r>
      <w:r>
        <w:rPr>
          <w:rFonts w:ascii="Arial" w:eastAsia="Malgun Gothic" w:hAnsi="Arial" w:cs="Arial" w:hint="eastAsia"/>
          <w:lang w:eastAsia="ko-KR"/>
        </w:rPr>
        <w:t>/202</w:t>
      </w:r>
      <w:r w:rsidR="001B5C00">
        <w:rPr>
          <w:rFonts w:ascii="Arial" w:eastAsia="Malgun Gothic" w:hAnsi="Arial" w:cs="Arial"/>
          <w:lang w:eastAsia="ko-KR"/>
        </w:rPr>
        <w:t>6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proofErr w:type="gramStart"/>
      <w:r w:rsidRPr="00B979F0">
        <w:rPr>
          <w:rFonts w:ascii="Arial" w:eastAsia="Calibri" w:hAnsi="Arial" w:cs="Arial"/>
          <w:b/>
          <w:bCs/>
          <w:spacing w:val="-3"/>
        </w:rPr>
        <w:t>Form</w:t>
      </w:r>
      <w:proofErr w:type="gramEnd"/>
      <w:r w:rsidRPr="00B979F0">
        <w:rPr>
          <w:rFonts w:ascii="Arial" w:eastAsia="Calibri" w:hAnsi="Arial" w:cs="Arial"/>
          <w:b/>
          <w:bCs/>
          <w:spacing w:val="-3"/>
        </w:rPr>
        <w:t xml:space="preserve">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</w:t>
      </w:r>
      <w:proofErr w:type="gramStart"/>
      <w:r w:rsidRPr="00B979F0">
        <w:rPr>
          <w:rFonts w:ascii="Arial" w:eastAsia="Calibri" w:hAnsi="Arial" w:cs="Arial"/>
          <w:bCs/>
          <w:spacing w:val="-3"/>
        </w:rPr>
        <w:t>up-dates</w:t>
      </w:r>
      <w:proofErr w:type="gramEnd"/>
      <w:r w:rsidRPr="00B979F0">
        <w:rPr>
          <w:rFonts w:ascii="Arial" w:eastAsia="Calibri" w:hAnsi="Arial" w:cs="Arial"/>
          <w:bCs/>
          <w:spacing w:val="-3"/>
        </w:rPr>
        <w:t xml:space="preserve">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</w:t>
      </w:r>
      <w:proofErr w:type="gramStart"/>
      <w:r w:rsidR="007F4A3E" w:rsidRPr="46B1AE5C">
        <w:rPr>
          <w:rFonts w:ascii="Arial" w:hAnsi="Arial" w:cs="Arial"/>
          <w:color w:val="000000" w:themeColor="text1"/>
        </w:rPr>
        <w:t>percent</w:t>
      </w:r>
      <w:proofErr w:type="gramEnd"/>
      <w:r w:rsidR="007F4A3E" w:rsidRPr="46B1AE5C">
        <w:rPr>
          <w:rFonts w:ascii="Arial" w:hAnsi="Arial" w:cs="Arial"/>
          <w:color w:val="000000" w:themeColor="text1"/>
        </w:rPr>
        <w:t xml:space="preserve">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</w:t>
      </w:r>
      <w:proofErr w:type="gramStart"/>
      <w:r w:rsidR="00EE1D71" w:rsidRPr="46B1AE5C">
        <w:rPr>
          <w:rFonts w:ascii="Arial" w:hAnsi="Arial" w:cs="Arial"/>
        </w:rPr>
        <w:t>)</w:t>
      </w:r>
      <w:r w:rsidR="0025242A" w:rsidRPr="46B1AE5C">
        <w:rPr>
          <w:rFonts w:ascii="Arial" w:hAnsi="Arial" w:cs="Arial"/>
        </w:rPr>
        <w:t>, and</w:t>
      </w:r>
      <w:proofErr w:type="gramEnd"/>
      <w:r w:rsidR="0025242A" w:rsidRPr="46B1AE5C">
        <w:rPr>
          <w:rFonts w:ascii="Arial" w:hAnsi="Arial" w:cs="Arial"/>
        </w:rPr>
        <w:t xml:space="preserve">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proofErr w:type="gramStart"/>
      <w:r w:rsidR="007F4A3E" w:rsidRPr="46B1AE5C">
        <w:rPr>
          <w:rFonts w:ascii="Arial" w:hAnsi="Arial" w:cs="Arial"/>
          <w:color w:val="000000" w:themeColor="text1"/>
        </w:rPr>
        <w:t>provides</w:t>
      </w:r>
      <w:proofErr w:type="gramEnd"/>
      <w:r w:rsidR="007F4A3E" w:rsidRPr="46B1AE5C">
        <w:rPr>
          <w:rFonts w:ascii="Arial" w:hAnsi="Arial" w:cs="Arial"/>
          <w:color w:val="000000" w:themeColor="text1"/>
        </w:rPr>
        <w:t xml:space="preserve">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="1947163D" w:rsidRPr="46B1AE5C">
        <w:rPr>
          <w:rFonts w:ascii="Arial" w:hAnsi="Arial" w:cs="Arial"/>
          <w:color w:val="000000" w:themeColor="text1"/>
        </w:rPr>
        <w:t>and also</w:t>
      </w:r>
      <w:proofErr w:type="gramEnd"/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</w:t>
      </w:r>
      <w:proofErr w:type="gramStart"/>
      <w:r w:rsidR="00793C8E" w:rsidRPr="00793C8E">
        <w:rPr>
          <w:rFonts w:ascii="Arial" w:eastAsia="Calibri" w:hAnsi="Arial" w:cs="Arial"/>
          <w:spacing w:val="-3"/>
        </w:rPr>
        <w:t>up-date</w:t>
      </w:r>
      <w:proofErr w:type="gramEnd"/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proofErr w:type="gramStart"/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</w:t>
      </w:r>
      <w:proofErr w:type="gramEnd"/>
      <w:r w:rsidR="002A5349">
        <w:rPr>
          <w:rFonts w:ascii="Arial" w:eastAsia="Calibri" w:hAnsi="Arial" w:cs="Arial"/>
          <w:spacing w:val="-3"/>
        </w:rPr>
        <w:t xml:space="preserve">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A55594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2430"/>
      </w:tblGrid>
      <w:tr w:rsidR="00E07C20" w14:paraId="42D6AE9D" w14:textId="77777777" w:rsidTr="00751DE4">
        <w:trPr>
          <w:jc w:val="center"/>
        </w:trPr>
        <w:tc>
          <w:tcPr>
            <w:tcW w:w="10165" w:type="dxa"/>
            <w:gridSpan w:val="2"/>
            <w:shd w:val="clear" w:color="auto" w:fill="E7E6E6" w:themeFill="background2"/>
          </w:tcPr>
          <w:p w14:paraId="715772A9" w14:textId="3BFAC8B9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5F0155">
              <w:rPr>
                <w:rFonts w:ascii="Arial" w:eastAsia="Times New Roman" w:hAnsi="Arial" w:cs="Arial"/>
                <w:b/>
              </w:rPr>
              <w:t>Field Instrument, AMFE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0751DE4">
        <w:trPr>
          <w:jc w:val="center"/>
        </w:trPr>
        <w:tc>
          <w:tcPr>
            <w:tcW w:w="7735" w:type="dxa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2430" w:type="dxa"/>
          </w:tcPr>
          <w:p w14:paraId="54967756" w14:textId="7C0AB322" w:rsidR="00E07C20" w:rsidRDefault="00C63E14" w:rsidP="00C63E14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</w:t>
            </w:r>
            <w:r w:rsidR="00751DE4">
              <w:rPr>
                <w:rFonts w:ascii="Arial" w:eastAsia="Times New Roman" w:hAnsi="Arial" w:cs="Arial"/>
              </w:rPr>
              <w:t>9</w:t>
            </w:r>
          </w:p>
        </w:tc>
      </w:tr>
      <w:tr w:rsidR="006A7000" w14:paraId="55CAD6B8" w14:textId="77777777" w:rsidTr="00751DE4">
        <w:trPr>
          <w:jc w:val="center"/>
        </w:trPr>
        <w:tc>
          <w:tcPr>
            <w:tcW w:w="7735" w:type="dxa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430" w:type="dxa"/>
          </w:tcPr>
          <w:p w14:paraId="7EE29714" w14:textId="3BA21854" w:rsidR="006A7000" w:rsidRDefault="00751DE4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E07C20" w14:paraId="39850034" w14:textId="77777777" w:rsidTr="00751DE4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430" w:type="dxa"/>
          </w:tcPr>
          <w:p w14:paraId="1F2069BB" w14:textId="03763DBD" w:rsidR="00E07C20" w:rsidRDefault="00751DE4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 the conclusion of the second semester of field practicum</w:t>
            </w:r>
          </w:p>
        </w:tc>
      </w:tr>
      <w:tr w:rsidR="00E07C20" w14:paraId="4F83E719" w14:textId="77777777" w:rsidTr="00751DE4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430" w:type="dxa"/>
          </w:tcPr>
          <w:p w14:paraId="5ABE3F01" w14:textId="497B0873" w:rsidR="00E07C20" w:rsidRDefault="00751DE4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E275E4" w14:paraId="675AF237" w14:textId="77777777" w:rsidTr="00751DE4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430" w:type="dxa"/>
          </w:tcPr>
          <w:p w14:paraId="7D0C0458" w14:textId="77777777" w:rsidR="00E275E4" w:rsidRDefault="00751D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out of 4</w:t>
            </w:r>
          </w:p>
          <w:p w14:paraId="46EC03CF" w14:textId="599863CD" w:rsidR="00751DE4" w:rsidRDefault="00751D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Capable (3) Strong (4)</w:t>
            </w:r>
          </w:p>
        </w:tc>
      </w:tr>
      <w:tr w:rsidR="00F97C6E" w14:paraId="1219E25C" w14:textId="77777777" w:rsidTr="00751DE4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2430" w:type="dxa"/>
          </w:tcPr>
          <w:p w14:paraId="10C93599" w14:textId="5A63BB70" w:rsidR="00F97C6E" w:rsidRDefault="00751D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A848FE" w14:paraId="3E1B0935" w14:textId="77777777" w:rsidTr="00751DE4">
        <w:trPr>
          <w:jc w:val="center"/>
        </w:trPr>
        <w:tc>
          <w:tcPr>
            <w:tcW w:w="10165" w:type="dxa"/>
            <w:gridSpan w:val="2"/>
            <w:shd w:val="clear" w:color="auto" w:fill="E7E6E6" w:themeFill="background2"/>
          </w:tcPr>
          <w:p w14:paraId="6744310F" w14:textId="111BC86F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5F0155">
              <w:rPr>
                <w:rFonts w:ascii="Arial" w:eastAsia="Times New Roman" w:hAnsi="Arial" w:cs="Arial"/>
                <w:b/>
              </w:rPr>
              <w:t>Course-embedded assessment rubrics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6A7000" w14:paraId="39003DF8" w14:textId="77777777" w:rsidTr="00751DE4">
        <w:trPr>
          <w:jc w:val="center"/>
        </w:trPr>
        <w:tc>
          <w:tcPr>
            <w:tcW w:w="7735" w:type="dxa"/>
          </w:tcPr>
          <w:p w14:paraId="5F58301A" w14:textId="77777777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2430" w:type="dxa"/>
          </w:tcPr>
          <w:p w14:paraId="553A4F47" w14:textId="76DE0766" w:rsidR="006A7000" w:rsidRDefault="00C63E14" w:rsidP="00C63E14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</w:t>
            </w:r>
            <w:r w:rsidR="00751DE4">
              <w:rPr>
                <w:rFonts w:ascii="Arial" w:eastAsia="Times New Roman" w:hAnsi="Arial" w:cs="Arial"/>
              </w:rPr>
              <w:t>9</w:t>
            </w:r>
          </w:p>
        </w:tc>
      </w:tr>
      <w:tr w:rsidR="00A848FE" w14:paraId="16F685F9" w14:textId="77777777" w:rsidTr="00751DE4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430" w:type="dxa"/>
          </w:tcPr>
          <w:p w14:paraId="14CEA58A" w14:textId="77777777" w:rsidR="00751DE4" w:rsidRDefault="00751DE4" w:rsidP="00751D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/</w:t>
            </w:r>
          </w:p>
          <w:p w14:paraId="77CD3851" w14:textId="56B16304" w:rsidR="00A848FE" w:rsidRDefault="00751DE4" w:rsidP="00751D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Critical Thinking / Affective Reactions / Values</w:t>
            </w:r>
          </w:p>
        </w:tc>
      </w:tr>
      <w:tr w:rsidR="00A848FE" w14:paraId="5914841C" w14:textId="77777777" w:rsidTr="00751DE4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430" w:type="dxa"/>
          </w:tcPr>
          <w:p w14:paraId="5692CECD" w14:textId="110D4E04" w:rsidR="00A848FE" w:rsidRDefault="00751DE4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End of semester</w:t>
            </w:r>
          </w:p>
        </w:tc>
      </w:tr>
      <w:tr w:rsidR="00A848FE" w14:paraId="069A0065" w14:textId="77777777" w:rsidTr="00751DE4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430" w:type="dxa"/>
          </w:tcPr>
          <w:p w14:paraId="0B98F920" w14:textId="0F3A570D" w:rsidR="00A848FE" w:rsidRDefault="00751DE4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E275E4" w14:paraId="0047B7C9" w14:textId="77777777" w:rsidTr="00751DE4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430" w:type="dxa"/>
          </w:tcPr>
          <w:p w14:paraId="7C57F1EF" w14:textId="77777777" w:rsidR="00E275E4" w:rsidRDefault="00751D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out of 4</w:t>
            </w:r>
          </w:p>
          <w:p w14:paraId="1F28EE39" w14:textId="476878B4" w:rsidR="00751DE4" w:rsidRDefault="00751D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Partial Mastery (3) Mastery (4)</w:t>
            </w:r>
          </w:p>
        </w:tc>
      </w:tr>
      <w:tr w:rsidR="00440CA3" w14:paraId="6CBD7A47" w14:textId="77777777" w:rsidTr="00751DE4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430" w:type="dxa"/>
          </w:tcPr>
          <w:p w14:paraId="1F21BF88" w14:textId="43BB18D7" w:rsidR="00440CA3" w:rsidRDefault="00751DE4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 xml:space="preserve">The competency benchmark is the </w:t>
      </w:r>
      <w:proofErr w:type="gramStart"/>
      <w:r>
        <w:rPr>
          <w:rFonts w:ascii="Arial" w:eastAsia="Calibri" w:hAnsi="Arial" w:cs="Arial"/>
          <w:spacing w:val="-3"/>
        </w:rPr>
        <w:t>percent</w:t>
      </w:r>
      <w:proofErr w:type="gramEnd"/>
      <w:r>
        <w:rPr>
          <w:rFonts w:ascii="Arial" w:eastAsia="Calibri" w:hAnsi="Arial" w:cs="Arial"/>
          <w:spacing w:val="-3"/>
        </w:rPr>
        <w:t xml:space="preserve">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then calculate the percentage of students achieving each </w:t>
      </w:r>
      <w:proofErr w:type="gramStart"/>
      <w:r>
        <w:rPr>
          <w:rFonts w:ascii="Arial" w:eastAsia="Times New Roman" w:hAnsi="Arial" w:cs="Arial"/>
        </w:rPr>
        <w:t>competency</w:t>
      </w:r>
      <w:proofErr w:type="gramEnd"/>
      <w:r>
        <w:rPr>
          <w:rFonts w:ascii="Arial" w:eastAsia="Times New Roman" w:hAnsi="Arial" w:cs="Arial"/>
        </w:rPr>
        <w:t xml:space="preserve">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 xml:space="preserve">all program options per </w:t>
      </w:r>
      <w:proofErr w:type="gramStart"/>
      <w:r w:rsidRPr="00B979F0">
        <w:rPr>
          <w:rFonts w:ascii="Arial" w:eastAsia="Times New Roman" w:hAnsi="Arial" w:cs="Arial"/>
        </w:rPr>
        <w:t>competency</w:t>
      </w:r>
      <w:proofErr w:type="gramEnd"/>
      <w:r w:rsidRPr="00B979F0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7D1C2F7A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Malgun Gothic" w:hAnsi="Arial" w:cs="Arial"/>
          <w:lang w:eastAsia="ko-KR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6B7DF0">
        <w:rPr>
          <w:rFonts w:ascii="Arial" w:eastAsia="Times New Roman" w:hAnsi="Arial" w:cs="Arial"/>
          <w:b/>
          <w:bCs/>
        </w:rPr>
        <w:t>20</w:t>
      </w:r>
      <w:r w:rsidR="006B7DF0" w:rsidRPr="006B7DF0">
        <w:rPr>
          <w:rFonts w:ascii="Arial" w:eastAsia="Times New Roman" w:hAnsi="Arial" w:cs="Arial"/>
          <w:b/>
          <w:bCs/>
        </w:rPr>
        <w:t>2</w:t>
      </w:r>
      <w:r w:rsidR="001B5C00">
        <w:rPr>
          <w:rFonts w:ascii="Arial" w:eastAsia="Times New Roman" w:hAnsi="Arial" w:cs="Arial"/>
          <w:b/>
          <w:bCs/>
        </w:rPr>
        <w:t>4</w:t>
      </w:r>
      <w:r w:rsidR="00562E4A" w:rsidRPr="006B7DF0">
        <w:rPr>
          <w:rFonts w:ascii="Arial" w:eastAsia="Times New Roman" w:hAnsi="Arial" w:cs="Arial"/>
          <w:b/>
          <w:bCs/>
        </w:rPr>
        <w:t>-20</w:t>
      </w:r>
      <w:r w:rsidR="006B7DF0" w:rsidRPr="006B7DF0">
        <w:rPr>
          <w:rFonts w:ascii="Arial" w:eastAsia="Times New Roman" w:hAnsi="Arial" w:cs="Arial"/>
          <w:b/>
          <w:bCs/>
        </w:rPr>
        <w:t>2</w:t>
      </w:r>
      <w:r w:rsidR="001B5C00">
        <w:rPr>
          <w:rFonts w:ascii="Arial" w:eastAsia="Times New Roman" w:hAnsi="Arial" w:cs="Arial"/>
          <w:b/>
          <w:bCs/>
        </w:rPr>
        <w:t>5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45CBAFB6" w14:textId="77777777" w:rsidR="001B5C00" w:rsidRDefault="001B5C00" w:rsidP="0003090D">
      <w:pPr>
        <w:spacing w:after="0" w:line="240" w:lineRule="auto"/>
        <w:jc w:val="center"/>
        <w:textAlignment w:val="baseline"/>
        <w:rPr>
          <w:rFonts w:ascii="Arial" w:eastAsia="Malgun Gothic" w:hAnsi="Arial" w:cs="Arial"/>
          <w:lang w:eastAsia="ko-KR"/>
        </w:rPr>
      </w:pPr>
    </w:p>
    <w:p w14:paraId="2BEE4DA2" w14:textId="77777777" w:rsidR="001B5C00" w:rsidRPr="001B5C00" w:rsidRDefault="001B5C00" w:rsidP="0003090D">
      <w:pPr>
        <w:spacing w:after="0" w:line="240" w:lineRule="auto"/>
        <w:jc w:val="center"/>
        <w:textAlignment w:val="baseline"/>
        <w:rPr>
          <w:rFonts w:ascii="Arial" w:eastAsia="Malgun Gothic" w:hAnsi="Arial" w:cs="Arial"/>
          <w:lang w:eastAsia="ko-KR"/>
        </w:rPr>
      </w:pPr>
    </w:p>
    <w:tbl>
      <w:tblPr>
        <w:tblStyle w:val="TableGrid1"/>
        <w:tblW w:w="0" w:type="auto"/>
        <w:tblInd w:w="134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2610"/>
        <w:gridCol w:w="2790"/>
        <w:gridCol w:w="2403"/>
      </w:tblGrid>
      <w:tr w:rsidR="001B5C00" w14:paraId="282A9F0B" w14:textId="77777777" w:rsidTr="00F80F2B">
        <w:trPr>
          <w:trHeight w:val="274"/>
        </w:trPr>
        <w:tc>
          <w:tcPr>
            <w:tcW w:w="1800" w:type="dxa"/>
            <w:vMerge w:val="restart"/>
          </w:tcPr>
          <w:p w14:paraId="702511F8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Competency</w:t>
            </w:r>
          </w:p>
        </w:tc>
        <w:tc>
          <w:tcPr>
            <w:tcW w:w="9963" w:type="dxa"/>
            <w:gridSpan w:val="4"/>
          </w:tcPr>
          <w:p w14:paraId="592F5A4B" w14:textId="77777777" w:rsidR="001B5C00" w:rsidRDefault="001B5C00" w:rsidP="00F80F2B">
            <w:pPr>
              <w:jc w:val="center"/>
            </w:pPr>
            <w:r>
              <w:t>Percentage of Students Achieving Benchmark</w:t>
            </w:r>
          </w:p>
          <w:p w14:paraId="08A7CB30" w14:textId="77777777" w:rsidR="001B5C00" w:rsidRDefault="001B5C00" w:rsidP="00F80F2B">
            <w:pPr>
              <w:jc w:val="center"/>
            </w:pPr>
          </w:p>
        </w:tc>
      </w:tr>
      <w:tr w:rsidR="001B5C00" w14:paraId="1D78600F" w14:textId="77777777" w:rsidTr="00F80F2B">
        <w:trPr>
          <w:trHeight w:val="274"/>
        </w:trPr>
        <w:tc>
          <w:tcPr>
            <w:tcW w:w="1800" w:type="dxa"/>
            <w:vMerge/>
          </w:tcPr>
          <w:p w14:paraId="06244217" w14:textId="77777777" w:rsidR="001B5C00" w:rsidRDefault="001B5C00" w:rsidP="00F80F2B"/>
        </w:tc>
        <w:tc>
          <w:tcPr>
            <w:tcW w:w="2160" w:type="dxa"/>
          </w:tcPr>
          <w:p w14:paraId="38081EB5" w14:textId="77777777" w:rsidR="001B5C00" w:rsidRDefault="001B5C00" w:rsidP="00F80F2B">
            <w:r>
              <w:t>Competency Benchmark (%)</w:t>
            </w:r>
          </w:p>
        </w:tc>
        <w:tc>
          <w:tcPr>
            <w:tcW w:w="2610" w:type="dxa"/>
          </w:tcPr>
          <w:p w14:paraId="2A8EE1FE" w14:textId="77777777" w:rsidR="001B5C00" w:rsidRDefault="001B5C00" w:rsidP="00F80F2B">
            <w:pPr>
              <w:jc w:val="center"/>
            </w:pPr>
            <w:r>
              <w:t>Program Option #1 (Akron Campus)</w:t>
            </w:r>
          </w:p>
        </w:tc>
        <w:tc>
          <w:tcPr>
            <w:tcW w:w="2790" w:type="dxa"/>
          </w:tcPr>
          <w:p w14:paraId="468097C1" w14:textId="77777777" w:rsidR="001B5C00" w:rsidRDefault="001B5C00" w:rsidP="00F80F2B">
            <w:pPr>
              <w:jc w:val="center"/>
            </w:pPr>
            <w:r>
              <w:t>Program Option #2 (Wayne Campus)</w:t>
            </w:r>
          </w:p>
        </w:tc>
        <w:tc>
          <w:tcPr>
            <w:tcW w:w="2403" w:type="dxa"/>
          </w:tcPr>
          <w:p w14:paraId="4E4A8FB8" w14:textId="77777777" w:rsidR="001B5C00" w:rsidRDefault="001B5C00" w:rsidP="00F80F2B">
            <w:pPr>
              <w:jc w:val="center"/>
            </w:pPr>
            <w:r>
              <w:t>Aggregate of All Program Options</w:t>
            </w:r>
          </w:p>
        </w:tc>
      </w:tr>
      <w:tr w:rsidR="001B5C00" w14:paraId="6BA5512E" w14:textId="77777777" w:rsidTr="00F80F2B">
        <w:tc>
          <w:tcPr>
            <w:tcW w:w="1800" w:type="dxa"/>
          </w:tcPr>
          <w:p w14:paraId="2E09ED9A" w14:textId="77777777" w:rsidR="001B5C00" w:rsidRPr="00A303A7" w:rsidRDefault="001B5C00" w:rsidP="00F80F2B">
            <w:pPr>
              <w:rPr>
                <w:b/>
                <w:bCs/>
              </w:rPr>
            </w:pPr>
            <w:r w:rsidRPr="00A303A7">
              <w:rPr>
                <w:b/>
                <w:bCs/>
              </w:rPr>
              <w:t>Competency 1</w:t>
            </w:r>
          </w:p>
        </w:tc>
        <w:tc>
          <w:tcPr>
            <w:tcW w:w="2160" w:type="dxa"/>
          </w:tcPr>
          <w:p w14:paraId="4DECF1BB" w14:textId="77777777" w:rsidR="001B5C00" w:rsidRPr="00DC501A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16026309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  <w:tc>
          <w:tcPr>
            <w:tcW w:w="2790" w:type="dxa"/>
          </w:tcPr>
          <w:p w14:paraId="749E0A69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86.7%</w:t>
            </w:r>
          </w:p>
        </w:tc>
        <w:tc>
          <w:tcPr>
            <w:tcW w:w="2403" w:type="dxa"/>
          </w:tcPr>
          <w:p w14:paraId="6E025C8C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97.5%</w:t>
            </w:r>
          </w:p>
        </w:tc>
      </w:tr>
      <w:tr w:rsidR="001B5C00" w14:paraId="496305FB" w14:textId="77777777" w:rsidTr="00F80F2B">
        <w:tc>
          <w:tcPr>
            <w:tcW w:w="1800" w:type="dxa"/>
          </w:tcPr>
          <w:p w14:paraId="40284853" w14:textId="77777777" w:rsidR="001B5C00" w:rsidRPr="00A303A7" w:rsidRDefault="001B5C00" w:rsidP="00F80F2B">
            <w:pPr>
              <w:rPr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 2</w:t>
            </w:r>
          </w:p>
        </w:tc>
        <w:tc>
          <w:tcPr>
            <w:tcW w:w="2160" w:type="dxa"/>
          </w:tcPr>
          <w:p w14:paraId="646B604E" w14:textId="77777777" w:rsidR="001B5C00" w:rsidRDefault="001B5C00" w:rsidP="00F80F2B"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065A8D78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91.5%</w:t>
            </w:r>
          </w:p>
        </w:tc>
        <w:tc>
          <w:tcPr>
            <w:tcW w:w="2790" w:type="dxa"/>
          </w:tcPr>
          <w:p w14:paraId="5AF1F51B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  <w:tc>
          <w:tcPr>
            <w:tcW w:w="2403" w:type="dxa"/>
          </w:tcPr>
          <w:p w14:paraId="0F54F5B6" w14:textId="77777777" w:rsidR="001B5C00" w:rsidRDefault="001B5C00" w:rsidP="00F80F2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97.5%</w:t>
            </w:r>
          </w:p>
        </w:tc>
      </w:tr>
      <w:tr w:rsidR="001B5C00" w14:paraId="15DB0AF0" w14:textId="77777777" w:rsidTr="00F80F2B">
        <w:tc>
          <w:tcPr>
            <w:tcW w:w="1800" w:type="dxa"/>
          </w:tcPr>
          <w:p w14:paraId="46661193" w14:textId="159858AD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3</w:t>
            </w:r>
          </w:p>
        </w:tc>
        <w:tc>
          <w:tcPr>
            <w:tcW w:w="2160" w:type="dxa"/>
          </w:tcPr>
          <w:p w14:paraId="54BD210C" w14:textId="607191B9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76A9B1BB" w14:textId="21D44104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88.9%</w:t>
            </w:r>
          </w:p>
        </w:tc>
        <w:tc>
          <w:tcPr>
            <w:tcW w:w="2790" w:type="dxa"/>
          </w:tcPr>
          <w:p w14:paraId="6714541C" w14:textId="3842F998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100%</w:t>
            </w:r>
          </w:p>
        </w:tc>
        <w:tc>
          <w:tcPr>
            <w:tcW w:w="2403" w:type="dxa"/>
          </w:tcPr>
          <w:p w14:paraId="11EB95B5" w14:textId="2E66794D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91.4%</w:t>
            </w:r>
          </w:p>
        </w:tc>
      </w:tr>
      <w:tr w:rsidR="001B5C00" w14:paraId="5FB69B54" w14:textId="77777777" w:rsidTr="00F80F2B">
        <w:tc>
          <w:tcPr>
            <w:tcW w:w="1800" w:type="dxa"/>
          </w:tcPr>
          <w:p w14:paraId="3F13D0E6" w14:textId="4BFDA56B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4</w:t>
            </w:r>
          </w:p>
        </w:tc>
        <w:tc>
          <w:tcPr>
            <w:tcW w:w="2160" w:type="dxa"/>
          </w:tcPr>
          <w:p w14:paraId="7641D002" w14:textId="25FB5E05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80% of students will demonstrate competence </w:t>
            </w:r>
            <w:r>
              <w:rPr>
                <w:rFonts w:hint="eastAsia"/>
                <w:lang w:eastAsia="ko-KR"/>
              </w:rPr>
              <w:lastRenderedPageBreak/>
              <w:t>inclusive of 2 or more measures</w:t>
            </w:r>
          </w:p>
        </w:tc>
        <w:tc>
          <w:tcPr>
            <w:tcW w:w="2610" w:type="dxa"/>
          </w:tcPr>
          <w:p w14:paraId="55D5CF5E" w14:textId="176A534E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85.7%</w:t>
            </w:r>
          </w:p>
        </w:tc>
        <w:tc>
          <w:tcPr>
            <w:tcW w:w="2790" w:type="dxa"/>
          </w:tcPr>
          <w:p w14:paraId="06811FB2" w14:textId="63E4EDCB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87.5%</w:t>
            </w:r>
          </w:p>
        </w:tc>
        <w:tc>
          <w:tcPr>
            <w:tcW w:w="2403" w:type="dxa"/>
          </w:tcPr>
          <w:p w14:paraId="22A99B46" w14:textId="5FCFBCF2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85.9%</w:t>
            </w:r>
          </w:p>
        </w:tc>
      </w:tr>
      <w:tr w:rsidR="001B5C00" w14:paraId="49AD69DF" w14:textId="77777777" w:rsidTr="00F80F2B">
        <w:tc>
          <w:tcPr>
            <w:tcW w:w="1800" w:type="dxa"/>
          </w:tcPr>
          <w:p w14:paraId="1A779F44" w14:textId="0C8E9658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5</w:t>
            </w:r>
          </w:p>
        </w:tc>
        <w:tc>
          <w:tcPr>
            <w:tcW w:w="2160" w:type="dxa"/>
          </w:tcPr>
          <w:p w14:paraId="7A25A5E7" w14:textId="3752B7A4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115A8396" w14:textId="54ADC539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77.4%</w:t>
            </w:r>
          </w:p>
        </w:tc>
        <w:tc>
          <w:tcPr>
            <w:tcW w:w="2790" w:type="dxa"/>
          </w:tcPr>
          <w:p w14:paraId="5876BDEC" w14:textId="4D42E7A2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60.0%</w:t>
            </w:r>
          </w:p>
        </w:tc>
        <w:tc>
          <w:tcPr>
            <w:tcW w:w="2403" w:type="dxa"/>
          </w:tcPr>
          <w:p w14:paraId="5E60FBEC" w14:textId="7944029E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77.6%</w:t>
            </w:r>
          </w:p>
        </w:tc>
      </w:tr>
      <w:tr w:rsidR="001B5C00" w14:paraId="0809598F" w14:textId="77777777" w:rsidTr="00F80F2B">
        <w:tc>
          <w:tcPr>
            <w:tcW w:w="1800" w:type="dxa"/>
          </w:tcPr>
          <w:p w14:paraId="57098365" w14:textId="32E174B7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6</w:t>
            </w:r>
          </w:p>
        </w:tc>
        <w:tc>
          <w:tcPr>
            <w:tcW w:w="2160" w:type="dxa"/>
          </w:tcPr>
          <w:p w14:paraId="2302AD15" w14:textId="7B5BCF8A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38B6CDFB" w14:textId="480B4971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87.0%</w:t>
            </w:r>
          </w:p>
        </w:tc>
        <w:tc>
          <w:tcPr>
            <w:tcW w:w="2790" w:type="dxa"/>
          </w:tcPr>
          <w:p w14:paraId="5808D75F" w14:textId="40385D49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75.0%</w:t>
            </w:r>
          </w:p>
        </w:tc>
        <w:tc>
          <w:tcPr>
            <w:tcW w:w="2403" w:type="dxa"/>
          </w:tcPr>
          <w:p w14:paraId="663B3266" w14:textId="0BB5C4B6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86.3%</w:t>
            </w:r>
          </w:p>
        </w:tc>
      </w:tr>
      <w:tr w:rsidR="001B5C00" w14:paraId="51EDE03F" w14:textId="77777777" w:rsidTr="00F80F2B">
        <w:tc>
          <w:tcPr>
            <w:tcW w:w="1800" w:type="dxa"/>
          </w:tcPr>
          <w:p w14:paraId="3CAEFECA" w14:textId="5B8BD975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7</w:t>
            </w:r>
          </w:p>
        </w:tc>
        <w:tc>
          <w:tcPr>
            <w:tcW w:w="2160" w:type="dxa"/>
          </w:tcPr>
          <w:p w14:paraId="20715258" w14:textId="0C35CD7C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3670ADF8" w14:textId="6419D894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92.7%</w:t>
            </w:r>
          </w:p>
        </w:tc>
        <w:tc>
          <w:tcPr>
            <w:tcW w:w="2790" w:type="dxa"/>
          </w:tcPr>
          <w:p w14:paraId="1BCEDF2F" w14:textId="25CAEC22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100%</w:t>
            </w:r>
          </w:p>
        </w:tc>
        <w:tc>
          <w:tcPr>
            <w:tcW w:w="2403" w:type="dxa"/>
          </w:tcPr>
          <w:p w14:paraId="6A54CA9D" w14:textId="5370A8EE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93.8%</w:t>
            </w:r>
          </w:p>
        </w:tc>
      </w:tr>
      <w:tr w:rsidR="001B5C00" w14:paraId="50EE6363" w14:textId="77777777" w:rsidTr="00F80F2B">
        <w:tc>
          <w:tcPr>
            <w:tcW w:w="1800" w:type="dxa"/>
          </w:tcPr>
          <w:p w14:paraId="2E8F0EB6" w14:textId="5DC809B5" w:rsidR="001B5C00" w:rsidRPr="001B5C00" w:rsidRDefault="001B5C00" w:rsidP="00F80F2B">
            <w:pPr>
              <w:rPr>
                <w:rFonts w:eastAsia="Malgun Gothic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rFonts w:eastAsia="Malgun Gothic" w:hint="eastAsia"/>
                <w:b/>
                <w:bCs/>
                <w:lang w:eastAsia="ko-KR"/>
              </w:rPr>
              <w:t xml:space="preserve"> 8</w:t>
            </w:r>
          </w:p>
        </w:tc>
        <w:tc>
          <w:tcPr>
            <w:tcW w:w="2160" w:type="dxa"/>
          </w:tcPr>
          <w:p w14:paraId="41341F8E" w14:textId="0718B457" w:rsidR="001B5C00" w:rsidRDefault="001B5C00" w:rsidP="00F80F2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07AB5059" w14:textId="678378BD" w:rsidR="001B5C00" w:rsidRDefault="00185BB9" w:rsidP="00F80F2B">
            <w:pPr>
              <w:jc w:val="center"/>
              <w:rPr>
                <w:lang w:eastAsia="ko-KR"/>
              </w:rPr>
            </w:pPr>
            <w:r w:rsidRPr="00185BB9">
              <w:rPr>
                <w:lang w:eastAsia="ko-KR"/>
              </w:rPr>
              <w:t>9</w:t>
            </w:r>
            <w:r>
              <w:rPr>
                <w:lang w:eastAsia="ko-KR"/>
              </w:rPr>
              <w:t>3.4%</w:t>
            </w:r>
          </w:p>
        </w:tc>
        <w:tc>
          <w:tcPr>
            <w:tcW w:w="2790" w:type="dxa"/>
          </w:tcPr>
          <w:p w14:paraId="52361DEE" w14:textId="2D2EA563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100%</w:t>
            </w:r>
          </w:p>
        </w:tc>
        <w:tc>
          <w:tcPr>
            <w:tcW w:w="2403" w:type="dxa"/>
          </w:tcPr>
          <w:p w14:paraId="012704C3" w14:textId="05A4326D" w:rsidR="001B5C00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93.6%</w:t>
            </w:r>
          </w:p>
        </w:tc>
      </w:tr>
      <w:tr w:rsidR="00185BB9" w14:paraId="5410A978" w14:textId="77777777" w:rsidTr="00F80F2B">
        <w:tc>
          <w:tcPr>
            <w:tcW w:w="1800" w:type="dxa"/>
          </w:tcPr>
          <w:p w14:paraId="7275DA32" w14:textId="3B3208DF" w:rsidR="00185BB9" w:rsidRPr="00A303A7" w:rsidRDefault="00185BB9" w:rsidP="00F80F2B">
            <w:pPr>
              <w:rPr>
                <w:rFonts w:hint="eastAsia"/>
                <w:b/>
                <w:bCs/>
                <w:lang w:eastAsia="ko-KR"/>
              </w:rPr>
            </w:pPr>
            <w:r w:rsidRPr="00A303A7">
              <w:rPr>
                <w:rFonts w:hint="eastAsia"/>
                <w:b/>
                <w:bCs/>
                <w:lang w:eastAsia="ko-KR"/>
              </w:rPr>
              <w:t>Competency</w:t>
            </w:r>
            <w:r>
              <w:rPr>
                <w:b/>
                <w:bCs/>
                <w:lang w:eastAsia="ko-KR"/>
              </w:rPr>
              <w:t xml:space="preserve"> 9</w:t>
            </w:r>
          </w:p>
        </w:tc>
        <w:tc>
          <w:tcPr>
            <w:tcW w:w="2160" w:type="dxa"/>
          </w:tcPr>
          <w:p w14:paraId="2E40A8BA" w14:textId="1772B980" w:rsidR="00185BB9" w:rsidRDefault="00185BB9" w:rsidP="00F80F2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80% of students will demonstrate competence inclusive of 2 or more measures</w:t>
            </w:r>
          </w:p>
        </w:tc>
        <w:tc>
          <w:tcPr>
            <w:tcW w:w="2610" w:type="dxa"/>
          </w:tcPr>
          <w:p w14:paraId="0195A517" w14:textId="4D7DDC17" w:rsidR="00185BB9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92.8%</w:t>
            </w:r>
          </w:p>
        </w:tc>
        <w:tc>
          <w:tcPr>
            <w:tcW w:w="2790" w:type="dxa"/>
          </w:tcPr>
          <w:p w14:paraId="64EB1BB3" w14:textId="75835AB1" w:rsidR="00185BB9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100%</w:t>
            </w:r>
          </w:p>
        </w:tc>
        <w:tc>
          <w:tcPr>
            <w:tcW w:w="2403" w:type="dxa"/>
          </w:tcPr>
          <w:p w14:paraId="2A9292A6" w14:textId="5FE91ED5" w:rsidR="00185BB9" w:rsidRDefault="00185BB9" w:rsidP="00F80F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92.8%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A55594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E03E" w14:textId="77777777" w:rsidR="00FE5336" w:rsidRDefault="00FE5336" w:rsidP="005C37CC">
      <w:pPr>
        <w:spacing w:after="0" w:line="240" w:lineRule="auto"/>
      </w:pPr>
      <w:r>
        <w:separator/>
      </w:r>
    </w:p>
  </w:endnote>
  <w:endnote w:type="continuationSeparator" w:id="0">
    <w:p w14:paraId="70453F2C" w14:textId="77777777" w:rsidR="00FE5336" w:rsidRDefault="00FE5336" w:rsidP="005C37CC">
      <w:pPr>
        <w:spacing w:after="0" w:line="240" w:lineRule="auto"/>
      </w:pPr>
      <w:r>
        <w:continuationSeparator/>
      </w:r>
    </w:p>
  </w:endnote>
  <w:endnote w:type="continuationNotice" w:id="1">
    <w:p w14:paraId="1F985E4A" w14:textId="77777777" w:rsidR="00FE5336" w:rsidRDefault="00FE5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E873" w14:textId="77777777" w:rsidR="00FE5336" w:rsidRDefault="00FE5336" w:rsidP="005C37CC">
      <w:pPr>
        <w:spacing w:after="0" w:line="240" w:lineRule="auto"/>
      </w:pPr>
      <w:r>
        <w:separator/>
      </w:r>
    </w:p>
  </w:footnote>
  <w:footnote w:type="continuationSeparator" w:id="0">
    <w:p w14:paraId="2640D80E" w14:textId="77777777" w:rsidR="00FE5336" w:rsidRDefault="00FE5336" w:rsidP="005C37CC">
      <w:pPr>
        <w:spacing w:after="0" w:line="240" w:lineRule="auto"/>
      </w:pPr>
      <w:r>
        <w:continuationSeparator/>
      </w:r>
    </w:p>
  </w:footnote>
  <w:footnote w:type="continuationNotice" w:id="1">
    <w:p w14:paraId="34B5BCC2" w14:textId="77777777" w:rsidR="00FE5336" w:rsidRDefault="00FE533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0BC4"/>
    <w:rsid w:val="000A4017"/>
    <w:rsid w:val="000A4E2B"/>
    <w:rsid w:val="000B700E"/>
    <w:rsid w:val="000C0C4B"/>
    <w:rsid w:val="000E4348"/>
    <w:rsid w:val="000F5ED1"/>
    <w:rsid w:val="00100B25"/>
    <w:rsid w:val="001024BF"/>
    <w:rsid w:val="00106A01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7ACA"/>
    <w:rsid w:val="00180B77"/>
    <w:rsid w:val="00185BB9"/>
    <w:rsid w:val="001971B7"/>
    <w:rsid w:val="001A3067"/>
    <w:rsid w:val="001A64D5"/>
    <w:rsid w:val="001B0303"/>
    <w:rsid w:val="001B2800"/>
    <w:rsid w:val="001B5C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B3925"/>
    <w:rsid w:val="002B5423"/>
    <w:rsid w:val="002D7402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32DFB"/>
    <w:rsid w:val="003466D8"/>
    <w:rsid w:val="0034713C"/>
    <w:rsid w:val="00351306"/>
    <w:rsid w:val="00362B6F"/>
    <w:rsid w:val="00371795"/>
    <w:rsid w:val="00374B21"/>
    <w:rsid w:val="00377D01"/>
    <w:rsid w:val="00381C0C"/>
    <w:rsid w:val="00382FD9"/>
    <w:rsid w:val="00390414"/>
    <w:rsid w:val="003919E4"/>
    <w:rsid w:val="00395F7B"/>
    <w:rsid w:val="003A335F"/>
    <w:rsid w:val="003A4FBC"/>
    <w:rsid w:val="003D1950"/>
    <w:rsid w:val="003D4D09"/>
    <w:rsid w:val="003E0158"/>
    <w:rsid w:val="003E32BD"/>
    <w:rsid w:val="003E3C2B"/>
    <w:rsid w:val="003F3E86"/>
    <w:rsid w:val="004240EA"/>
    <w:rsid w:val="00440CA3"/>
    <w:rsid w:val="0044492C"/>
    <w:rsid w:val="004475B1"/>
    <w:rsid w:val="00452260"/>
    <w:rsid w:val="004662C0"/>
    <w:rsid w:val="00480106"/>
    <w:rsid w:val="00487030"/>
    <w:rsid w:val="004A3E00"/>
    <w:rsid w:val="004A44AE"/>
    <w:rsid w:val="004C04EF"/>
    <w:rsid w:val="004C1563"/>
    <w:rsid w:val="004C72CD"/>
    <w:rsid w:val="004E2E1B"/>
    <w:rsid w:val="004F124B"/>
    <w:rsid w:val="004F3D73"/>
    <w:rsid w:val="00501647"/>
    <w:rsid w:val="0053409F"/>
    <w:rsid w:val="0053497E"/>
    <w:rsid w:val="00544D37"/>
    <w:rsid w:val="00547499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0155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2D64"/>
    <w:rsid w:val="006737F1"/>
    <w:rsid w:val="00683F47"/>
    <w:rsid w:val="00684360"/>
    <w:rsid w:val="00697FD6"/>
    <w:rsid w:val="006A1042"/>
    <w:rsid w:val="006A694D"/>
    <w:rsid w:val="006A7000"/>
    <w:rsid w:val="006A7197"/>
    <w:rsid w:val="006B16D4"/>
    <w:rsid w:val="006B1BCC"/>
    <w:rsid w:val="006B7DF0"/>
    <w:rsid w:val="006C01E0"/>
    <w:rsid w:val="006C03AC"/>
    <w:rsid w:val="006F393D"/>
    <w:rsid w:val="006F6263"/>
    <w:rsid w:val="006F642D"/>
    <w:rsid w:val="006F741B"/>
    <w:rsid w:val="00701E5A"/>
    <w:rsid w:val="00701EAA"/>
    <w:rsid w:val="0070490A"/>
    <w:rsid w:val="007072B4"/>
    <w:rsid w:val="00725C08"/>
    <w:rsid w:val="007344F2"/>
    <w:rsid w:val="00740FA0"/>
    <w:rsid w:val="007428FF"/>
    <w:rsid w:val="00751DE4"/>
    <w:rsid w:val="00775DDC"/>
    <w:rsid w:val="007830D8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07BB3"/>
    <w:rsid w:val="00810A25"/>
    <w:rsid w:val="00813741"/>
    <w:rsid w:val="00813BEB"/>
    <w:rsid w:val="00816FF2"/>
    <w:rsid w:val="00821BBF"/>
    <w:rsid w:val="00822364"/>
    <w:rsid w:val="008226FB"/>
    <w:rsid w:val="00826ED1"/>
    <w:rsid w:val="0084493E"/>
    <w:rsid w:val="008520A5"/>
    <w:rsid w:val="008532F3"/>
    <w:rsid w:val="008537EA"/>
    <w:rsid w:val="00867A26"/>
    <w:rsid w:val="00871106"/>
    <w:rsid w:val="0087180F"/>
    <w:rsid w:val="00871ACC"/>
    <w:rsid w:val="00871D43"/>
    <w:rsid w:val="00886715"/>
    <w:rsid w:val="008930BE"/>
    <w:rsid w:val="008A174A"/>
    <w:rsid w:val="008A4058"/>
    <w:rsid w:val="008B3E85"/>
    <w:rsid w:val="008D562E"/>
    <w:rsid w:val="008E7B76"/>
    <w:rsid w:val="00906D62"/>
    <w:rsid w:val="009243ED"/>
    <w:rsid w:val="00932358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58F9"/>
    <w:rsid w:val="009B73CF"/>
    <w:rsid w:val="009D2568"/>
    <w:rsid w:val="00A14438"/>
    <w:rsid w:val="00A14D83"/>
    <w:rsid w:val="00A27B71"/>
    <w:rsid w:val="00A361D3"/>
    <w:rsid w:val="00A5144E"/>
    <w:rsid w:val="00A55594"/>
    <w:rsid w:val="00A848FE"/>
    <w:rsid w:val="00A8569E"/>
    <w:rsid w:val="00AC1D97"/>
    <w:rsid w:val="00AC3970"/>
    <w:rsid w:val="00AE69C0"/>
    <w:rsid w:val="00AF4AFD"/>
    <w:rsid w:val="00B21C02"/>
    <w:rsid w:val="00B401FB"/>
    <w:rsid w:val="00B43DE8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D6546"/>
    <w:rsid w:val="00BE2945"/>
    <w:rsid w:val="00BE30C7"/>
    <w:rsid w:val="00BE74C1"/>
    <w:rsid w:val="00BF7117"/>
    <w:rsid w:val="00C134FA"/>
    <w:rsid w:val="00C17D1D"/>
    <w:rsid w:val="00C20EF6"/>
    <w:rsid w:val="00C21022"/>
    <w:rsid w:val="00C22D68"/>
    <w:rsid w:val="00C47711"/>
    <w:rsid w:val="00C479DF"/>
    <w:rsid w:val="00C63E14"/>
    <w:rsid w:val="00C647E4"/>
    <w:rsid w:val="00C72810"/>
    <w:rsid w:val="00C729E5"/>
    <w:rsid w:val="00C73207"/>
    <w:rsid w:val="00C80B2F"/>
    <w:rsid w:val="00C85A99"/>
    <w:rsid w:val="00C94574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211EE"/>
    <w:rsid w:val="00D27FBA"/>
    <w:rsid w:val="00D30896"/>
    <w:rsid w:val="00D43A7D"/>
    <w:rsid w:val="00D530D8"/>
    <w:rsid w:val="00D670BC"/>
    <w:rsid w:val="00D73096"/>
    <w:rsid w:val="00D83233"/>
    <w:rsid w:val="00D87290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16E8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4A9F"/>
    <w:rsid w:val="00E8718F"/>
    <w:rsid w:val="00E915EC"/>
    <w:rsid w:val="00EA0BE6"/>
    <w:rsid w:val="00EB0848"/>
    <w:rsid w:val="00EE003A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D429C"/>
    <w:rsid w:val="00FE5039"/>
    <w:rsid w:val="00FE5336"/>
    <w:rsid w:val="00FE7123"/>
    <w:rsid w:val="00FE7BF7"/>
    <w:rsid w:val="00FF102C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1B5C00"/>
    <w:pPr>
      <w:spacing w:after="0" w:line="240" w:lineRule="auto"/>
    </w:pPr>
    <w:rPr>
      <w:rFonts w:ascii="Arial" w:eastAsiaTheme="minorEastAsia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Jina Sang</cp:lastModifiedBy>
  <cp:revision>2</cp:revision>
  <dcterms:created xsi:type="dcterms:W3CDTF">2026-02-17T17:50:00Z</dcterms:created>
  <dcterms:modified xsi:type="dcterms:W3CDTF">2026-02-17T17:50:00Z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